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360"/>
      </w:tblGrid>
      <w:tr w:rsidR="005A3CBE" w14:paraId="510F1F23" w14:textId="77777777" w:rsidTr="005A3CBE">
        <w:trPr>
          <w:jc w:val="center"/>
        </w:trPr>
        <w:tc>
          <w:tcPr>
            <w:tcW w:w="0" w:type="auto"/>
            <w:hideMark/>
          </w:tcPr>
          <w:tbl>
            <w:tblPr>
              <w:tblW w:w="8700" w:type="dxa"/>
              <w:jc w:val="center"/>
              <w:shd w:val="clear" w:color="auto" w:fill="FFFFFF"/>
              <w:tblCellMar>
                <w:left w:w="0" w:type="dxa"/>
                <w:right w:w="0" w:type="dxa"/>
              </w:tblCellMar>
              <w:tblLook w:val="04A0" w:firstRow="1" w:lastRow="0" w:firstColumn="1" w:lastColumn="0" w:noHBand="0" w:noVBand="1"/>
            </w:tblPr>
            <w:tblGrid>
              <w:gridCol w:w="8706"/>
            </w:tblGrid>
            <w:tr w:rsidR="005A3CBE" w14:paraId="0AA78484" w14:textId="77777777">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5A3CBE" w14:paraId="3D12BA1D"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5A3CBE" w14:paraId="63E6396D"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A3CBE" w14:paraId="54206FD3" w14:textId="77777777">
                                <w:tc>
                                  <w:tcPr>
                                    <w:tcW w:w="0" w:type="auto"/>
                                    <w:tcMar>
                                      <w:top w:w="0" w:type="dxa"/>
                                      <w:left w:w="150" w:type="dxa"/>
                                      <w:bottom w:w="150" w:type="dxa"/>
                                      <w:right w:w="150" w:type="dxa"/>
                                    </w:tcMar>
                                    <w:hideMark/>
                                  </w:tcPr>
                                  <w:p w14:paraId="7F5F0CDE" w14:textId="3513436D" w:rsidR="005A3CBE" w:rsidRDefault="005A3CBE">
                                    <w:pPr>
                                      <w:spacing w:line="280" w:lineRule="atLeast"/>
                                      <w:jc w:val="center"/>
                                      <w:rPr>
                                        <w:rFonts w:ascii="Helvetica" w:eastAsia="Times New Roman" w:hAnsi="Helvetica"/>
                                        <w:color w:val="222222"/>
                                        <w:sz w:val="20"/>
                                        <w:szCs w:val="20"/>
                                      </w:rPr>
                                    </w:pPr>
                                    <w:r>
                                      <w:rPr>
                                        <w:rFonts w:ascii="Helvetica" w:eastAsia="Times New Roman" w:hAnsi="Helvetica"/>
                                        <w:noProof/>
                                        <w:color w:val="222222"/>
                                        <w:sz w:val="20"/>
                                        <w:szCs w:val="20"/>
                                      </w:rPr>
                                      <w:drawing>
                                        <wp:inline distT="0" distB="0" distL="0" distR="0" wp14:anchorId="4DAA026C" wp14:editId="04BBD627">
                                          <wp:extent cx="5334000" cy="1813560"/>
                                          <wp:effectExtent l="0" t="0" r="0" b="15240"/>
                                          <wp:docPr id="6" name="Picture 6" descr="Special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ial Update"/>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5334000" cy="1813560"/>
                                                  </a:xfrm>
                                                  <a:prstGeom prst="rect">
                                                    <a:avLst/>
                                                  </a:prstGeom>
                                                  <a:noFill/>
                                                  <a:ln>
                                                    <a:noFill/>
                                                  </a:ln>
                                                </pic:spPr>
                                              </pic:pic>
                                            </a:graphicData>
                                          </a:graphic>
                                        </wp:inline>
                                      </w:drawing>
                                    </w:r>
                                  </w:p>
                                  <w:p w14:paraId="7C7D9A1B" w14:textId="77777777" w:rsidR="005A3CBE" w:rsidRDefault="005A3CBE">
                                    <w:pPr>
                                      <w:jc w:val="center"/>
                                      <w:rPr>
                                        <w:rFonts w:ascii="Helvetica" w:eastAsia="Times New Roman" w:hAnsi="Helvetica"/>
                                        <w:color w:val="222222"/>
                                        <w:sz w:val="20"/>
                                        <w:szCs w:val="20"/>
                                      </w:rPr>
                                    </w:pPr>
                                    <w:r>
                                      <w:rPr>
                                        <w:rFonts w:ascii="Helvetica" w:eastAsia="Times New Roman" w:hAnsi="Helvetica"/>
                                        <w:color w:val="222222"/>
                                        <w:sz w:val="20"/>
                                        <w:szCs w:val="20"/>
                                      </w:rPr>
                                      <w:t>Click to view newsletter archives</w:t>
                                    </w:r>
                                  </w:p>
                                </w:tc>
                                <w:tc>
                                  <w:tcPr>
                                    <w:tcW w:w="6" w:type="dxa"/>
                                    <w:hideMark/>
                                  </w:tcPr>
                                  <w:p w14:paraId="798DE894" w14:textId="77777777" w:rsidR="005A3CBE" w:rsidRDefault="005A3CBE">
                                    <w:pPr>
                                      <w:rPr>
                                        <w:rFonts w:ascii="Helvetica" w:eastAsia="Times New Roman" w:hAnsi="Helvetica"/>
                                        <w:color w:val="222222"/>
                                        <w:sz w:val="20"/>
                                        <w:szCs w:val="20"/>
                                      </w:rPr>
                                    </w:pPr>
                                  </w:p>
                                </w:tc>
                              </w:tr>
                            </w:tbl>
                            <w:p w14:paraId="7B6EC771" w14:textId="77777777" w:rsidR="005A3CBE" w:rsidRDefault="005A3CBE"/>
                          </w:tc>
                        </w:tr>
                      </w:tbl>
                      <w:p w14:paraId="123602B6" w14:textId="77777777" w:rsidR="005A3CBE" w:rsidRDefault="005A3CBE"/>
                    </w:tc>
                  </w:tr>
                  <w:tr w:rsidR="005A3CBE" w14:paraId="4838952F"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5A3CBE" w14:paraId="67A09595"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A3CBE" w14:paraId="6910BF35" w14:textId="77777777">
                                <w:tc>
                                  <w:tcPr>
                                    <w:tcW w:w="0" w:type="auto"/>
                                    <w:tcMar>
                                      <w:top w:w="150" w:type="dxa"/>
                                      <w:left w:w="150" w:type="dxa"/>
                                      <w:bottom w:w="150" w:type="dxa"/>
                                      <w:right w:w="150" w:type="dxa"/>
                                    </w:tcMar>
                                    <w:hideMark/>
                                  </w:tcPr>
                                  <w:p w14:paraId="127AB4A4" w14:textId="77777777" w:rsidR="005A3CBE" w:rsidRDefault="005A3CBE">
                                    <w:pPr>
                                      <w:pStyle w:val="Heading1"/>
                                      <w:spacing w:before="0" w:beforeAutospacing="0" w:after="0" w:afterAutospacing="0"/>
                                      <w:jc w:val="both"/>
                                      <w:rPr>
                                        <w:rFonts w:ascii="Arial" w:hAnsi="Arial" w:cs="Arial"/>
                                        <w:color w:val="AF282F"/>
                                        <w:sz w:val="30"/>
                                        <w:szCs w:val="30"/>
                                      </w:rPr>
                                    </w:pPr>
                                    <w:r>
                                      <w:rPr>
                                        <w:rFonts w:ascii="Arial" w:hAnsi="Arial" w:cs="Arial"/>
                                        <w:color w:val="AF282F"/>
                                        <w:sz w:val="30"/>
                                        <w:szCs w:val="30"/>
                                      </w:rPr>
                                      <w:t>August 17, 2021</w:t>
                                    </w:r>
                                  </w:p>
                                </w:tc>
                                <w:tc>
                                  <w:tcPr>
                                    <w:tcW w:w="6" w:type="dxa"/>
                                    <w:hideMark/>
                                  </w:tcPr>
                                  <w:p w14:paraId="0870C3B6" w14:textId="77777777" w:rsidR="005A3CBE" w:rsidRDefault="005A3CBE">
                                    <w:pPr>
                                      <w:rPr>
                                        <w:rFonts w:ascii="Arial" w:hAnsi="Arial" w:cs="Arial"/>
                                        <w:color w:val="AF282F"/>
                                        <w:sz w:val="30"/>
                                        <w:szCs w:val="30"/>
                                      </w:rPr>
                                    </w:pPr>
                                  </w:p>
                                </w:tc>
                              </w:tr>
                            </w:tbl>
                            <w:p w14:paraId="428446E5" w14:textId="77777777" w:rsidR="005A3CBE" w:rsidRDefault="005A3CBE"/>
                          </w:tc>
                        </w:tr>
                      </w:tbl>
                      <w:p w14:paraId="16975F88" w14:textId="77777777" w:rsidR="005A3CBE" w:rsidRDefault="005A3CBE"/>
                    </w:tc>
                  </w:tr>
                  <w:tr w:rsidR="005A3CBE" w14:paraId="4F24FBE4"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5A3CBE" w14:paraId="77C48610"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A3CBE" w14:paraId="6D130578" w14:textId="77777777">
                                <w:tc>
                                  <w:tcPr>
                                    <w:tcW w:w="0" w:type="auto"/>
                                    <w:tcMar>
                                      <w:top w:w="150" w:type="dxa"/>
                                      <w:left w:w="150" w:type="dxa"/>
                                      <w:bottom w:w="150" w:type="dxa"/>
                                      <w:right w:w="150" w:type="dxa"/>
                                    </w:tcMar>
                                    <w:hideMark/>
                                  </w:tcPr>
                                  <w:p w14:paraId="3DC00F6E" w14:textId="77777777" w:rsidR="005A3CBE" w:rsidRDefault="005A3CBE">
                                    <w:pPr>
                                      <w:pStyle w:val="Heading2"/>
                                      <w:spacing w:before="0" w:beforeAutospacing="0" w:after="0" w:afterAutospacing="0"/>
                                      <w:rPr>
                                        <w:rFonts w:ascii="Arial" w:hAnsi="Arial" w:cs="Arial"/>
                                        <w:color w:val="711A1E"/>
                                        <w:sz w:val="24"/>
                                        <w:szCs w:val="24"/>
                                      </w:rPr>
                                    </w:pPr>
                                    <w:r>
                                      <w:rPr>
                                        <w:rFonts w:ascii="Arial" w:hAnsi="Arial" w:cs="Arial"/>
                                        <w:color w:val="711A1E"/>
                                        <w:sz w:val="24"/>
                                        <w:szCs w:val="24"/>
                                      </w:rPr>
                                      <w:t>TO: NJ Municipal Elected Officials</w:t>
                                    </w:r>
                                    <w:r>
                                      <w:rPr>
                                        <w:rFonts w:ascii="Arial" w:hAnsi="Arial" w:cs="Arial"/>
                                        <w:color w:val="711A1E"/>
                                        <w:sz w:val="24"/>
                                        <w:szCs w:val="24"/>
                                      </w:rPr>
                                      <w:br/>
                                      <w:t> </w:t>
                                    </w:r>
                                    <w:r>
                                      <w:rPr>
                                        <w:rFonts w:ascii="Arial" w:hAnsi="Arial" w:cs="Arial"/>
                                        <w:color w:val="711A1E"/>
                                        <w:sz w:val="24"/>
                                        <w:szCs w:val="24"/>
                                      </w:rPr>
                                      <w:br/>
                                      <w:t>FROM: Mike Cerra, NJLM</w:t>
                                    </w:r>
                                    <w:r>
                                      <w:rPr>
                                        <w:rFonts w:ascii="Arial" w:hAnsi="Arial" w:cs="Arial"/>
                                        <w:color w:val="711A1E"/>
                                        <w:sz w:val="24"/>
                                        <w:szCs w:val="24"/>
                                      </w:rPr>
                                      <w:br/>
                                      <w:t>              Executive Director</w:t>
                                    </w:r>
                                  </w:p>
                                  <w:p w14:paraId="0C1CC342" w14:textId="77777777" w:rsidR="005A3CBE" w:rsidRDefault="005A3CBE">
                                    <w:pPr>
                                      <w:pStyle w:val="Heading2"/>
                                      <w:spacing w:before="0" w:beforeAutospacing="0" w:after="240" w:afterAutospacing="0"/>
                                      <w:rPr>
                                        <w:rFonts w:ascii="Arial" w:hAnsi="Arial" w:cs="Arial"/>
                                        <w:color w:val="711A1E"/>
                                        <w:sz w:val="24"/>
                                        <w:szCs w:val="24"/>
                                      </w:rPr>
                                    </w:pPr>
                                    <w:r>
                                      <w:rPr>
                                        <w:rFonts w:ascii="Arial" w:hAnsi="Arial" w:cs="Arial"/>
                                        <w:color w:val="711A1E"/>
                                        <w:sz w:val="24"/>
                                        <w:szCs w:val="24"/>
                                      </w:rPr>
                                      <w:t xml:space="preserve">RE: Guidance on Cannabis Legalization for Municipalities Opting In,  </w:t>
                                    </w:r>
                                    <w:hyperlink r:id="rId6" w:history="1">
                                      <w:r>
                                        <w:rPr>
                                          <w:rStyle w:val="Hyperlink"/>
                                          <w:rFonts w:ascii="Arial" w:hAnsi="Arial" w:cs="Arial"/>
                                          <w:sz w:val="24"/>
                                          <w:szCs w:val="24"/>
                                        </w:rPr>
                                        <w:t>Cannabis Local Option Tax Sample</w:t>
                                      </w:r>
                                    </w:hyperlink>
                                  </w:p>
                                  <w:p w14:paraId="467B7BB7" w14:textId="77777777" w:rsidR="005A3CBE" w:rsidRDefault="005A3CBE">
                                    <w:pPr>
                                      <w:pStyle w:val="normal1"/>
                                      <w:spacing w:after="240"/>
                                    </w:pPr>
                                    <w:r>
                                      <w:t>The Cannabis Regulatory Commission will vote on proposed regulations at its Thursday meeting. This will be done to meet the 180-day deadline provided by statute, as below. As you know, municipalities have until August 21 to opt-out entirely, or opt-in partially, of the various licenses. Because of this, we want municipalities that opt in to know that they have the option to implement a 2% local option tax. </w:t>
                                    </w:r>
                                    <w:r>
                                      <w:br/>
                                      <w:t> </w:t>
                                    </w:r>
                                    <w:r>
                                      <w:br/>
                                      <w:t>The League will be reviewing the regulations once released and will provide you with further comments and analysis at that time. </w:t>
                                    </w:r>
                                  </w:p>
                                  <w:p w14:paraId="0A45F2ED" w14:textId="77777777" w:rsidR="005A3CBE" w:rsidRDefault="005A3CBE">
                                    <w:pPr>
                                      <w:pStyle w:val="Heading3"/>
                                      <w:spacing w:before="0" w:beforeAutospacing="0" w:after="0" w:afterAutospacing="0"/>
                                      <w:rPr>
                                        <w:rFonts w:ascii="Arial" w:hAnsi="Arial" w:cs="Arial"/>
                                        <w:color w:val="333333"/>
                                        <w:sz w:val="21"/>
                                        <w:szCs w:val="21"/>
                                      </w:rPr>
                                    </w:pPr>
                                    <w:r>
                                      <w:rPr>
                                        <w:rFonts w:ascii="Arial" w:hAnsi="Arial" w:cs="Arial"/>
                                        <w:color w:val="333333"/>
                                        <w:sz w:val="21"/>
                                        <w:szCs w:val="21"/>
                                      </w:rPr>
                                      <w:t>Background</w:t>
                                    </w:r>
                                  </w:p>
                                  <w:p w14:paraId="3885209A" w14:textId="77777777" w:rsidR="005A3CBE" w:rsidRDefault="005A3CBE">
                                    <w:pPr>
                                      <w:pStyle w:val="normal1"/>
                                    </w:pPr>
                                    <w:r>
                                      <w:t> </w:t>
                                    </w:r>
                                    <w:r>
                                      <w:br/>
                                      <w:t>As you know, in November 2020 New Jersey voters approved Public Question No. 1, which amended the New Jersey Constitution to allow for the legalization of a controlled form of marijuana called “cannabis” for adults at least 21 years of age.</w:t>
                                    </w:r>
                                    <w:r>
                                      <w:br/>
                                      <w:t> </w:t>
                                    </w:r>
                                    <w:r>
                                      <w:br/>
                                      <w:t xml:space="preserve">On February 22, 2021, Governor Murphy signed into law </w:t>
                                    </w:r>
                                    <w:hyperlink r:id="rId7" w:history="1">
                                      <w:r>
                                        <w:rPr>
                                          <w:rStyle w:val="Hyperlink"/>
                                        </w:rPr>
                                        <w:t>P.L. 2021, c. 16</w:t>
                                      </w:r>
                                    </w:hyperlink>
                                    <w:r>
                                      <w:t>, known as the “New Jersey Cannabis Regulatory, Enforcement Assistance, and Marketplace Modernization Act” (the “Act”), which legalizes the recreational use of marijuana by adults 21 years of age or older, and establishes a comprehensive regulatory and licensing scheme for commercial recreational (adult-use) cannabis operations, use and possession. The Act establishes six marketplace classes of licensed businesses, including:</w:t>
                                    </w:r>
                                  </w:p>
                                  <w:p w14:paraId="664077C1" w14:textId="77777777" w:rsidR="005A3CBE" w:rsidRDefault="005A3CBE" w:rsidP="00F04C40">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Class 1 Cannabis Cultivator license, for facilities involved in growing and cultivating cannabis;</w:t>
                                    </w:r>
                                  </w:p>
                                  <w:p w14:paraId="523F0FB6" w14:textId="77777777" w:rsidR="005A3CBE" w:rsidRDefault="005A3CBE" w:rsidP="00F04C40">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lastRenderedPageBreak/>
                                      <w:t>Class 2 Cannabis Manufacturer license, for facilities involved in the manufacturing, preparation, and packaging of cannabis items;</w:t>
                                    </w:r>
                                  </w:p>
                                  <w:p w14:paraId="584AA8D6" w14:textId="77777777" w:rsidR="005A3CBE" w:rsidRDefault="005A3CBE" w:rsidP="00F04C40">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Class 3 Cannabis Wholesaler license, for facilities involved in obtaining and selling cannabis items for later resale by other licensees;</w:t>
                                    </w:r>
                                  </w:p>
                                  <w:p w14:paraId="433BECEA" w14:textId="77777777" w:rsidR="005A3CBE" w:rsidRDefault="005A3CBE" w:rsidP="00F04C40">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Class 4 Cannabis Distributor license, for businesses involved in transporting cannabis plants in bulk from one licensed cultivator to another licensed cultivator, or cannabis items in bulk from any type of licensed cannabis business to another;</w:t>
                                    </w:r>
                                  </w:p>
                                  <w:p w14:paraId="6CFC984F" w14:textId="77777777" w:rsidR="005A3CBE" w:rsidRDefault="005A3CBE" w:rsidP="00F04C40">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Class 5 Cannabis Retailer license for locations at which cannabis items and related supplies are sold to consumers; and</w:t>
                                    </w:r>
                                  </w:p>
                                  <w:p w14:paraId="316BFD98" w14:textId="77777777" w:rsidR="005A3CBE" w:rsidRDefault="005A3CBE" w:rsidP="00F04C40">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Class 6 Cannabis Delivery license, for businesses providing courier services for consumer purchases that are fulfilled by a licensed cannabis retailer in order to make deliveries of the purchased items to a consumer, and which service would include the ability of a consumer to make a purchase directly through the cannabis delivery service which would be presented by the delivery service for fulfillment by a retailer and then delivered to a consumer.</w:t>
                                    </w:r>
                                  </w:p>
                                  <w:p w14:paraId="16EC8378" w14:textId="77777777" w:rsidR="005A3CBE" w:rsidRDefault="005A3CBE">
                                    <w:pPr>
                                      <w:pStyle w:val="normal1"/>
                                      <w:spacing w:after="240"/>
                                    </w:pPr>
                                    <w:r>
                                      <w:t>Section 31a of the Act authorizes municipalities by ordinance to adopt regulations governing the number of cannabis establishments (defined in section 3 of the Act as “a cannabis cultivator, a cannabis manufacturer, a cannabis wholesaler, or a cannabis retailer”), cannabis distributors or cannabis delivery services allowed to operate within their boundaries, as well as the location manner and times operation of such establishments, distributors or delivery services, and establishing civil penalties for the violation of any such regulations.</w:t>
                                    </w:r>
                                    <w:r>
                                      <w:br/>
                                      <w:t> </w:t>
                                    </w:r>
                                    <w:r>
                                      <w:br/>
                                      <w:t>Section 31b of the Act authorizes municipalities by ordinance to prohibit the operation of any one or more classes of cannabis establishments, distributors, or delivery services anywhere in the municipality. Please note that you cannot prohibit the delivery services from delivering within the boundaries of your municipality.</w:t>
                                    </w:r>
                                    <w:r>
                                      <w:br/>
                                      <w:t> </w:t>
                                    </w:r>
                                    <w:r>
                                      <w:br/>
                                      <w:t>Section 31b of the Act also states, however, that the failure of a municipality to enact an ordinance prohibiting to the operation of any one or more classes of cannabis establishment, or cannabis distributors or delivery services within 180 days of the effective date of the Act (</w:t>
                                    </w:r>
                                    <w:r>
                                      <w:rPr>
                                        <w:rStyle w:val="Emphasis"/>
                                      </w:rPr>
                                      <w:t>i.e.</w:t>
                                    </w:r>
                                    <w:r>
                                      <w:t>, by August 22, 2021) shall mean that for a period of five years thereafter, the growing, cultivating, manufacturing, selling and reselling of cannabis and cannabis items shall be permitted uses in all industrial zones, and the retail selling of cannabis items to consumers shall be a conditional use in all commercial and retail zones.</w:t>
                                    </w:r>
                                    <w:r>
                                      <w:br/>
                                      <w:t> </w:t>
                                    </w:r>
                                    <w:r>
                                      <w:br/>
                                      <w:t>At the conclusion of the initial and any subsequent five-year period following a failure to enact a prohibiting ordinance, the municipality shall again have 180 days to adopt an ordinance prohibiting cannabis businesses, but any such ordinance would be prospective only and would not apply to any cannabis business already operating within the municipality.</w:t>
                                    </w:r>
                                    <w:r>
                                      <w:br/>
                                      <w:t>At the same time, the Cannabis Regulatory Commission (CRC) was given the same 180 days to enact a regulatory framework. </w:t>
                                    </w:r>
                                  </w:p>
                                  <w:p w14:paraId="0A7C3E81" w14:textId="77777777" w:rsidR="005A3CBE" w:rsidRDefault="005A3CBE">
                                    <w:pPr>
                                      <w:pStyle w:val="Heading3"/>
                                      <w:spacing w:before="0" w:beforeAutospacing="0" w:after="0" w:afterAutospacing="0"/>
                                      <w:rPr>
                                        <w:rFonts w:ascii="Arial" w:hAnsi="Arial" w:cs="Arial"/>
                                        <w:color w:val="333333"/>
                                        <w:sz w:val="21"/>
                                        <w:szCs w:val="21"/>
                                      </w:rPr>
                                    </w:pPr>
                                    <w:r>
                                      <w:rPr>
                                        <w:rStyle w:val="Strong"/>
                                        <w:rFonts w:ascii="Arial" w:hAnsi="Arial" w:cs="Arial"/>
                                        <w:b/>
                                        <w:bCs/>
                                        <w:color w:val="333333"/>
                                        <w:sz w:val="21"/>
                                        <w:szCs w:val="21"/>
                                      </w:rPr>
                                      <w:t>For Your Consideration</w:t>
                                    </w:r>
                                  </w:p>
                                  <w:p w14:paraId="5B769F45" w14:textId="77777777" w:rsidR="005A3CBE" w:rsidRDefault="005A3CBE">
                                    <w:pPr>
                                      <w:pStyle w:val="normal1"/>
                                      <w:spacing w:after="240"/>
                                    </w:pPr>
                                    <w:r>
                                      <w:t> </w:t>
                                    </w:r>
                                    <w:r>
                                      <w:br/>
                                      <w:t>The League continues not to take a position on legalization (or non-legalization for that matter) but remains dedicated to protecting the interests of local governments and their home rule, whether or not a particular community was interested and willing to host a cannabis business or if it preferred to opt-out entirely. One of the most important home rule protections we sought and advocated was to assure that local elected officials had the final say on whether to host a business and that local protections and zoning would still govern. To be clear, the decision to opt-in or opt-out is where it belongs, in the hands of local elected officials. And for further clarity, if you choose to opt-out, you may choose to revisit that decision at some future date. Your initial decision to prohibit one or more cannabis operations is to be made 180 days from when the bill was signed. Thus, you should pass an ordinance before Sunday, August 22, 2021.   </w:t>
                                    </w:r>
                                    <w:r>
                                      <w:br/>
                                      <w:t> </w:t>
                                    </w:r>
                                    <w:r>
                                      <w:br/>
                                      <w:t>The League has prepared template documents to assist you as you evaluate what is right for your community. </w:t>
                                    </w:r>
                                    <w:r>
                                      <w:rPr>
                                        <w:rStyle w:val="Strong"/>
                                      </w:rPr>
                                      <w:t>These documents are not and should not be construed as legal advice, but rather a template and starting point for your evaluation.</w:t>
                                    </w:r>
                                    <w:r>
                                      <w:t xml:space="preserve"> For municipalities that prefer to opt-out, the League, working with our partners at the Institute of Local Government Attorneys, </w:t>
                                    </w:r>
                                    <w:hyperlink r:id="rId8" w:history="1">
                                      <w:r>
                                        <w:rPr>
                                          <w:rStyle w:val="Hyperlink"/>
                                        </w:rPr>
                                        <w:t>provided language related to a complete opt-out of the provisions of the Act</w:t>
                                      </w:r>
                                    </w:hyperlink>
                                    <w:r>
                                      <w:t>. Further, that language can be modified to suit your local needs, including a partial opt-out, if that is in your municipality’s best interest.  </w:t>
                                    </w:r>
                                    <w:r>
                                      <w:br/>
                                      <w:t> </w:t>
                                    </w:r>
                                    <w:r>
                                      <w:br/>
                                      <w:t xml:space="preserve">For municipalities that choose to opt-in for one or more of the licenses, </w:t>
                                    </w:r>
                                    <w:hyperlink r:id="rId9" w:history="1">
                                      <w:r>
                                        <w:rPr>
                                          <w:rStyle w:val="Hyperlink"/>
                                        </w:rPr>
                                        <w:t>we have also prepared language to implement the optional and various local taxes</w:t>
                                      </w:r>
                                    </w:hyperlink>
                                    <w:r>
                                      <w:t>. </w:t>
                                    </w:r>
                                    <w:r>
                                      <w:br/>
                                      <w:t> </w:t>
                                    </w:r>
                                    <w:r>
                                      <w:br/>
                                      <w:t xml:space="preserve">Additional resources are available on the </w:t>
                                    </w:r>
                                    <w:hyperlink r:id="rId10" w:history="1">
                                      <w:r>
                                        <w:rPr>
                                          <w:rStyle w:val="Hyperlink"/>
                                        </w:rPr>
                                        <w:t>League’s cannabis page</w:t>
                                      </w:r>
                                    </w:hyperlink>
                                    <w:r>
                                      <w:t>, including links from the two virtual briefings the League conducted and a “Frequently Asked Question page.”   </w:t>
                                    </w:r>
                                    <w:r>
                                      <w:br/>
                                      <w:t> </w:t>
                                    </w:r>
                                    <w:r>
                                      <w:br/>
                                      <w:t>These documents are advisory only, and it may continue to be necessary to revise and update the documents as we also navigate this new process and that this language is only a starting point and should be tailored to your community’s particular needs. This language should also not be considered legal advice. Please consult your municipal counsel.    </w:t>
                                    </w:r>
                                    <w:r>
                                      <w:br/>
                                      <w:t> </w:t>
                                    </w:r>
                                    <w:r>
                                      <w:br/>
                                      <w:t xml:space="preserve">If you have any questions regarding general legalization policy, please contact me at either </w:t>
                                    </w:r>
                                    <w:hyperlink r:id="rId11" w:history="1">
                                      <w:r>
                                        <w:rPr>
                                          <w:rStyle w:val="Hyperlink"/>
                                        </w:rPr>
                                        <w:t>mcerra@njlm.org</w:t>
                                      </w:r>
                                    </w:hyperlink>
                                    <w:r>
                                      <w:t xml:space="preserve"> or 609-695-3481 x120. Technical and legal questions on the template language can be directed to Frank Marshall, Esq., League Associate General Counsel at </w:t>
                                    </w:r>
                                    <w:hyperlink r:id="rId12" w:history="1">
                                      <w:r>
                                        <w:rPr>
                                          <w:rStyle w:val="Hyperlink"/>
                                        </w:rPr>
                                        <w:t>fmarshall@njlm.org</w:t>
                                      </w:r>
                                    </w:hyperlink>
                                    <w:r>
                                      <w:t xml:space="preserve"> or 609-695-3481 x137.</w:t>
                                    </w:r>
                                    <w:r>
                                      <w:br/>
                                      <w:t> </w:t>
                                    </w:r>
                                    <w:r>
                                      <w:br/>
                                      <w:t> </w:t>
                                    </w:r>
                                    <w:r>
                                      <w:br/>
                                      <w:t> </w:t>
                                    </w:r>
                                  </w:p>
                                </w:tc>
                                <w:tc>
                                  <w:tcPr>
                                    <w:tcW w:w="6" w:type="dxa"/>
                                    <w:hideMark/>
                                  </w:tcPr>
                                  <w:p w14:paraId="70C9140C" w14:textId="77777777" w:rsidR="005A3CBE" w:rsidRDefault="005A3CBE"/>
                                </w:tc>
                              </w:tr>
                            </w:tbl>
                            <w:p w14:paraId="0DC5C934" w14:textId="77777777" w:rsidR="005A3CBE" w:rsidRDefault="005A3CBE"/>
                          </w:tc>
                        </w:tr>
                      </w:tbl>
                      <w:p w14:paraId="4957FA2A" w14:textId="77777777" w:rsidR="005A3CBE" w:rsidRDefault="005A3CBE"/>
                    </w:tc>
                  </w:tr>
                  <w:tr w:rsidR="005A3CBE" w14:paraId="7FEACE6C" w14:textId="77777777">
                    <w:tc>
                      <w:tcPr>
                        <w:tcW w:w="0" w:type="auto"/>
                        <w:hideMark/>
                      </w:tcPr>
                      <w:tbl>
                        <w:tblPr>
                          <w:tblW w:w="5000" w:type="pct"/>
                          <w:tblCellMar>
                            <w:left w:w="0" w:type="dxa"/>
                            <w:right w:w="0" w:type="dxa"/>
                          </w:tblCellMar>
                          <w:tblLook w:val="04A0" w:firstRow="1" w:lastRow="0" w:firstColumn="1" w:lastColumn="0" w:noHBand="0" w:noVBand="1"/>
                        </w:tblPr>
                        <w:tblGrid>
                          <w:gridCol w:w="8706"/>
                        </w:tblGrid>
                        <w:tr w:rsidR="005A3CBE" w14:paraId="2D99CD3D"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A3CBE" w14:paraId="6BA0A410" w14:textId="77777777">
                                <w:tc>
                                  <w:tcPr>
                                    <w:tcW w:w="0" w:type="auto"/>
                                    <w:tcMar>
                                      <w:top w:w="150" w:type="dxa"/>
                                      <w:left w:w="150" w:type="dxa"/>
                                      <w:bottom w:w="150" w:type="dxa"/>
                                      <w:right w:w="150" w:type="dxa"/>
                                    </w:tcMar>
                                    <w:hideMark/>
                                  </w:tcPr>
                                  <w:p w14:paraId="58E0437A" w14:textId="77777777" w:rsidR="005A3CBE" w:rsidRDefault="005A3CBE">
                                    <w:pPr>
                                      <w:rPr>
                                        <w:sz w:val="20"/>
                                        <w:szCs w:val="20"/>
                                      </w:rPr>
                                    </w:pPr>
                                  </w:p>
                                </w:tc>
                                <w:tc>
                                  <w:tcPr>
                                    <w:tcW w:w="6" w:type="dxa"/>
                                    <w:hideMark/>
                                  </w:tcPr>
                                  <w:p w14:paraId="2E897D82" w14:textId="77777777" w:rsidR="005A3CBE" w:rsidRDefault="005A3CBE">
                                    <w:pPr>
                                      <w:rPr>
                                        <w:sz w:val="20"/>
                                        <w:szCs w:val="20"/>
                                      </w:rPr>
                                    </w:pPr>
                                  </w:p>
                                </w:tc>
                              </w:tr>
                            </w:tbl>
                            <w:p w14:paraId="0CC2F0BA" w14:textId="77777777" w:rsidR="005A3CBE" w:rsidRDefault="005A3CBE"/>
                          </w:tc>
                        </w:tr>
                      </w:tbl>
                      <w:p w14:paraId="00636372" w14:textId="77777777" w:rsidR="005A3CBE" w:rsidRDefault="005A3CBE"/>
                    </w:tc>
                  </w:tr>
                  <w:tr w:rsidR="005A3CBE" w14:paraId="749D5798" w14:textId="77777777">
                    <w:tc>
                      <w:tcPr>
                        <w:tcW w:w="0" w:type="auto"/>
                        <w:hideMark/>
                      </w:tcPr>
                      <w:tbl>
                        <w:tblPr>
                          <w:tblW w:w="8700" w:type="dxa"/>
                          <w:shd w:val="clear" w:color="auto" w:fill="003A70"/>
                          <w:tblCellMar>
                            <w:left w:w="0" w:type="dxa"/>
                            <w:right w:w="0" w:type="dxa"/>
                          </w:tblCellMar>
                          <w:tblLook w:val="04A0" w:firstRow="1" w:lastRow="0" w:firstColumn="1" w:lastColumn="0" w:noHBand="0" w:noVBand="1"/>
                        </w:tblPr>
                        <w:tblGrid>
                          <w:gridCol w:w="8706"/>
                        </w:tblGrid>
                        <w:tr w:rsidR="005A3CBE" w14:paraId="44944FC1" w14:textId="77777777">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5A3CBE" w14:paraId="1695C9A3" w14:textId="77777777">
                                <w:tc>
                                  <w:tcPr>
                                    <w:tcW w:w="0" w:type="auto"/>
                                    <w:tcMar>
                                      <w:top w:w="0" w:type="dxa"/>
                                      <w:left w:w="150" w:type="dxa"/>
                                      <w:bottom w:w="150" w:type="dxa"/>
                                      <w:right w:w="150" w:type="dxa"/>
                                    </w:tcMar>
                                    <w:hideMark/>
                                  </w:tcPr>
                                  <w:p w14:paraId="6DFE0669" w14:textId="77E51751" w:rsidR="005A3CBE" w:rsidRDefault="005A3CBE">
                                    <w:pPr>
                                      <w:spacing w:line="280" w:lineRule="atLeast"/>
                                      <w:jc w:val="center"/>
                                      <w:rPr>
                                        <w:rFonts w:ascii="Helvetica" w:eastAsia="Times New Roman" w:hAnsi="Helvetica" w:cs="Calibri"/>
                                        <w:color w:val="222222"/>
                                        <w:sz w:val="20"/>
                                        <w:szCs w:val="20"/>
                                      </w:rPr>
                                    </w:pPr>
                                    <w:r>
                                      <w:rPr>
                                        <w:rFonts w:ascii="Helvetica" w:eastAsia="Times New Roman" w:hAnsi="Helvetica"/>
                                        <w:noProof/>
                                        <w:color w:val="0000FF"/>
                                        <w:sz w:val="20"/>
                                        <w:szCs w:val="20"/>
                                      </w:rPr>
                                      <w:drawing>
                                        <wp:inline distT="0" distB="0" distL="0" distR="0" wp14:anchorId="0E2BCD44" wp14:editId="35BEE85D">
                                          <wp:extent cx="5334000" cy="601980"/>
                                          <wp:effectExtent l="0" t="0" r="0" b="7620"/>
                                          <wp:docPr id="5" name="Picture 5">
                                            <a:hlinkClick xmlns:a="http://schemas.openxmlformats.org/drawingml/2006/main" r:id="rId13"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5334000" cy="601980"/>
                                                  </a:xfrm>
                                                  <a:prstGeom prst="rect">
                                                    <a:avLst/>
                                                  </a:prstGeom>
                                                  <a:noFill/>
                                                  <a:ln>
                                                    <a:noFill/>
                                                  </a:ln>
                                                </pic:spPr>
                                              </pic:pic>
                                            </a:graphicData>
                                          </a:graphic>
                                        </wp:inline>
                                      </w:drawing>
                                    </w:r>
                                  </w:p>
                                </w:tc>
                                <w:tc>
                                  <w:tcPr>
                                    <w:tcW w:w="6" w:type="dxa"/>
                                    <w:hideMark/>
                                  </w:tcPr>
                                  <w:p w14:paraId="4548D810" w14:textId="77777777" w:rsidR="005A3CBE" w:rsidRDefault="005A3CBE">
                                    <w:pPr>
                                      <w:rPr>
                                        <w:rFonts w:ascii="Helvetica" w:eastAsia="Times New Roman" w:hAnsi="Helvetica" w:cs="Calibri"/>
                                        <w:color w:val="222222"/>
                                        <w:sz w:val="20"/>
                                        <w:szCs w:val="20"/>
                                      </w:rPr>
                                    </w:pPr>
                                  </w:p>
                                </w:tc>
                              </w:tr>
                            </w:tbl>
                            <w:p w14:paraId="0B65344E" w14:textId="77777777" w:rsidR="005A3CBE" w:rsidRDefault="005A3CBE"/>
                          </w:tc>
                        </w:tr>
                      </w:tbl>
                      <w:p w14:paraId="08C47A88" w14:textId="77777777" w:rsidR="005A3CBE" w:rsidRDefault="005A3CBE"/>
                    </w:tc>
                  </w:tr>
                  <w:tr w:rsidR="005A3CBE" w14:paraId="60E81571" w14:textId="77777777">
                    <w:tc>
                      <w:tcPr>
                        <w:tcW w:w="0" w:type="auto"/>
                        <w:hideMark/>
                      </w:tcPr>
                      <w:tbl>
                        <w:tblPr>
                          <w:tblW w:w="5000" w:type="pct"/>
                          <w:shd w:val="clear" w:color="auto" w:fill="003A70"/>
                          <w:tblCellMar>
                            <w:left w:w="0" w:type="dxa"/>
                            <w:right w:w="0" w:type="dxa"/>
                          </w:tblCellMar>
                          <w:tblLook w:val="04A0" w:firstRow="1" w:lastRow="0" w:firstColumn="1" w:lastColumn="0" w:noHBand="0" w:noVBand="1"/>
                        </w:tblPr>
                        <w:tblGrid>
                          <w:gridCol w:w="8706"/>
                        </w:tblGrid>
                        <w:tr w:rsidR="005A3CBE" w14:paraId="0F597BBA" w14:textId="77777777">
                          <w:tc>
                            <w:tcPr>
                              <w:tcW w:w="8700" w:type="dxa"/>
                              <w:shd w:val="clear" w:color="auto" w:fill="003A70"/>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5A3CBE" w14:paraId="591CA464" w14:textId="77777777">
                                <w:tc>
                                  <w:tcPr>
                                    <w:tcW w:w="0" w:type="auto"/>
                                    <w:tcMar>
                                      <w:top w:w="150" w:type="dxa"/>
                                      <w:left w:w="150" w:type="dxa"/>
                                      <w:bottom w:w="150" w:type="dxa"/>
                                      <w:right w:w="150" w:type="dxa"/>
                                    </w:tcMar>
                                    <w:hideMark/>
                                  </w:tcPr>
                                  <w:p w14:paraId="53365828" w14:textId="77777777" w:rsidR="005A3CBE" w:rsidRDefault="005A3CBE">
                                    <w:pPr>
                                      <w:pStyle w:val="Heading2"/>
                                      <w:spacing w:before="0" w:beforeAutospacing="0" w:after="0" w:afterAutospacing="0"/>
                                      <w:rPr>
                                        <w:rFonts w:ascii="Arial" w:hAnsi="Arial" w:cs="Arial"/>
                                        <w:color w:val="711A1E"/>
                                        <w:sz w:val="24"/>
                                        <w:szCs w:val="24"/>
                                      </w:rPr>
                                    </w:pPr>
                                    <w:r>
                                      <w:rPr>
                                        <w:rFonts w:ascii="Arial" w:hAnsi="Arial" w:cs="Arial"/>
                                        <w:color w:val="FFFFFF"/>
                                        <w:sz w:val="24"/>
                                        <w:szCs w:val="24"/>
                                      </w:rPr>
                                      <w:t>NJLM on Social Media:     </w:t>
                                    </w:r>
                                    <w:hyperlink r:id="rId15" w:history="1">
                                      <w:r>
                                        <w:rPr>
                                          <w:rStyle w:val="Hyperlink"/>
                                          <w:rFonts w:ascii="Arial" w:hAnsi="Arial" w:cs="Arial"/>
                                          <w:color w:val="FFFFFF"/>
                                          <w:sz w:val="24"/>
                                          <w:szCs w:val="24"/>
                                        </w:rPr>
                                        <w:t>Facebook</w:t>
                                      </w:r>
                                    </w:hyperlink>
                                    <w:r>
                                      <w:rPr>
                                        <w:rFonts w:ascii="Arial" w:hAnsi="Arial" w:cs="Arial"/>
                                        <w:color w:val="FFFFFF"/>
                                        <w:sz w:val="24"/>
                                        <w:szCs w:val="24"/>
                                      </w:rPr>
                                      <w:t>     </w:t>
                                    </w:r>
                                    <w:hyperlink r:id="rId16" w:history="1">
                                      <w:r>
                                        <w:rPr>
                                          <w:rStyle w:val="Hyperlink"/>
                                          <w:rFonts w:ascii="Arial" w:hAnsi="Arial" w:cs="Arial"/>
                                          <w:color w:val="FFFFFF"/>
                                          <w:sz w:val="24"/>
                                          <w:szCs w:val="24"/>
                                        </w:rPr>
                                        <w:t>Twitter</w:t>
                                      </w:r>
                                    </w:hyperlink>
                                    <w:r>
                                      <w:rPr>
                                        <w:rFonts w:ascii="Arial" w:hAnsi="Arial" w:cs="Arial"/>
                                        <w:color w:val="FFFFFF"/>
                                        <w:sz w:val="24"/>
                                        <w:szCs w:val="24"/>
                                      </w:rPr>
                                      <w:t>    </w:t>
                                    </w:r>
                                    <w:hyperlink r:id="rId17" w:history="1">
                                      <w:r>
                                        <w:rPr>
                                          <w:rStyle w:val="Hyperlink"/>
                                          <w:rFonts w:ascii="Arial" w:hAnsi="Arial" w:cs="Arial"/>
                                          <w:color w:val="FFFFFF"/>
                                          <w:sz w:val="24"/>
                                          <w:szCs w:val="24"/>
                                        </w:rPr>
                                        <w:t>LinkedIn</w:t>
                                      </w:r>
                                    </w:hyperlink>
                                    <w:r>
                                      <w:rPr>
                                        <w:rFonts w:ascii="Arial" w:hAnsi="Arial" w:cs="Arial"/>
                                        <w:color w:val="FFFFFF"/>
                                        <w:sz w:val="24"/>
                                        <w:szCs w:val="24"/>
                                      </w:rPr>
                                      <w:t>     </w:t>
                                    </w:r>
                                    <w:hyperlink r:id="rId18" w:history="1">
                                      <w:r>
                                        <w:rPr>
                                          <w:rStyle w:val="Hyperlink"/>
                                          <w:rFonts w:ascii="Arial" w:hAnsi="Arial" w:cs="Arial"/>
                                          <w:color w:val="FFFFFF"/>
                                          <w:sz w:val="24"/>
                                          <w:szCs w:val="24"/>
                                        </w:rPr>
                                        <w:t>YouTube</w:t>
                                      </w:r>
                                    </w:hyperlink>
                                  </w:p>
                                </w:tc>
                                <w:tc>
                                  <w:tcPr>
                                    <w:tcW w:w="6" w:type="dxa"/>
                                    <w:hideMark/>
                                  </w:tcPr>
                                  <w:p w14:paraId="66E0CCC6" w14:textId="77777777" w:rsidR="005A3CBE" w:rsidRDefault="005A3CBE">
                                    <w:pPr>
                                      <w:rPr>
                                        <w:rFonts w:ascii="Arial" w:hAnsi="Arial" w:cs="Arial"/>
                                        <w:color w:val="711A1E"/>
                                        <w:sz w:val="24"/>
                                        <w:szCs w:val="24"/>
                                      </w:rPr>
                                    </w:pPr>
                                  </w:p>
                                </w:tc>
                              </w:tr>
                            </w:tbl>
                            <w:p w14:paraId="3ADB6FB6" w14:textId="77777777" w:rsidR="005A3CBE" w:rsidRDefault="005A3CBE"/>
                          </w:tc>
                        </w:tr>
                      </w:tbl>
                      <w:p w14:paraId="76EC438B" w14:textId="77777777" w:rsidR="005A3CBE" w:rsidRDefault="005A3CBE"/>
                    </w:tc>
                  </w:tr>
                  <w:tr w:rsidR="005A3CBE" w14:paraId="26A27C42" w14:textId="77777777">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2"/>
                          <w:gridCol w:w="3002"/>
                          <w:gridCol w:w="2702"/>
                        </w:tblGrid>
                        <w:tr w:rsidR="005A3CBE" w14:paraId="1978C899" w14:textId="77777777">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A3CBE" w14:paraId="0E66B5A9" w14:textId="77777777">
                                <w:tc>
                                  <w:tcPr>
                                    <w:tcW w:w="0" w:type="auto"/>
                                    <w:tcMar>
                                      <w:top w:w="0" w:type="dxa"/>
                                      <w:left w:w="0" w:type="dxa"/>
                                      <w:bottom w:w="150" w:type="dxa"/>
                                      <w:right w:w="0" w:type="dxa"/>
                                    </w:tcMar>
                                    <w:hideMark/>
                                  </w:tcPr>
                                  <w:p w14:paraId="428B8A42" w14:textId="6A08646D" w:rsidR="005A3CBE" w:rsidRDefault="005A3CBE">
                                    <w:pPr>
                                      <w:spacing w:line="280" w:lineRule="atLeast"/>
                                      <w:jc w:val="center"/>
                                      <w:rPr>
                                        <w:rFonts w:ascii="Helvetica" w:eastAsia="Times New Roman" w:hAnsi="Helvetica" w:cs="Calibri"/>
                                        <w:color w:val="222222"/>
                                        <w:sz w:val="20"/>
                                        <w:szCs w:val="20"/>
                                      </w:rPr>
                                    </w:pPr>
                                    <w:hyperlink r:id="rId19" w:tgtFrame="_blank" w:history="1">
                                      <w:r>
                                        <w:rPr>
                                          <w:rFonts w:ascii="Helvetica" w:eastAsia="Times New Roman" w:hAnsi="Helvetica"/>
                                          <w:noProof/>
                                          <w:color w:val="606060"/>
                                          <w:sz w:val="20"/>
                                          <w:szCs w:val="20"/>
                                        </w:rPr>
                                        <w:drawing>
                                          <wp:inline distT="0" distB="0" distL="0" distR="0" wp14:anchorId="416E6FFC" wp14:editId="5458B444">
                                            <wp:extent cx="121920" cy="152400"/>
                                            <wp:effectExtent l="0" t="0" r="1143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rStyle w:val="Hyperlink"/>
                                          <w:rFonts w:ascii="Helvetica" w:hAnsi="Helvetica"/>
                                          <w:color w:val="606060"/>
                                          <w:sz w:val="20"/>
                                          <w:szCs w:val="20"/>
                                        </w:rPr>
                                        <w:t xml:space="preserve">Share on Facebook </w:t>
                                      </w:r>
                                    </w:hyperlink>
                                  </w:p>
                                </w:tc>
                                <w:tc>
                                  <w:tcPr>
                                    <w:tcW w:w="6" w:type="dxa"/>
                                    <w:hideMark/>
                                  </w:tcPr>
                                  <w:p w14:paraId="7E43E9A1" w14:textId="77777777" w:rsidR="005A3CBE" w:rsidRDefault="005A3CBE">
                                    <w:pPr>
                                      <w:rPr>
                                        <w:rFonts w:ascii="Helvetica" w:eastAsia="Times New Roman" w:hAnsi="Helvetica" w:cs="Calibri"/>
                                        <w:color w:val="222222"/>
                                        <w:sz w:val="20"/>
                                        <w:szCs w:val="20"/>
                                      </w:rPr>
                                    </w:pPr>
                                  </w:p>
                                </w:tc>
                              </w:tr>
                            </w:tbl>
                            <w:p w14:paraId="1553C4BA" w14:textId="77777777" w:rsidR="005A3CBE" w:rsidRDefault="005A3CBE"/>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A3CBE" w14:paraId="5B3E3270" w14:textId="77777777">
                                <w:tc>
                                  <w:tcPr>
                                    <w:tcW w:w="0" w:type="auto"/>
                                    <w:tcMar>
                                      <w:top w:w="0" w:type="dxa"/>
                                      <w:left w:w="0" w:type="dxa"/>
                                      <w:bottom w:w="150" w:type="dxa"/>
                                      <w:right w:w="0" w:type="dxa"/>
                                    </w:tcMar>
                                    <w:hideMark/>
                                  </w:tcPr>
                                  <w:p w14:paraId="49AECD1D" w14:textId="4BC6A4AE" w:rsidR="005A3CBE" w:rsidRDefault="005A3CBE">
                                    <w:pPr>
                                      <w:spacing w:line="280" w:lineRule="atLeast"/>
                                      <w:jc w:val="center"/>
                                      <w:rPr>
                                        <w:rFonts w:ascii="Helvetica" w:eastAsia="Times New Roman" w:hAnsi="Helvetica" w:cs="Calibri"/>
                                        <w:color w:val="222222"/>
                                        <w:sz w:val="20"/>
                                        <w:szCs w:val="20"/>
                                      </w:rPr>
                                    </w:pPr>
                                    <w:hyperlink r:id="rId21" w:tgtFrame="_blank" w:history="1">
                                      <w:r>
                                        <w:rPr>
                                          <w:rFonts w:ascii="Helvetica" w:eastAsia="Times New Roman" w:hAnsi="Helvetica"/>
                                          <w:noProof/>
                                          <w:color w:val="606060"/>
                                          <w:sz w:val="20"/>
                                          <w:szCs w:val="20"/>
                                        </w:rPr>
                                        <w:drawing>
                                          <wp:inline distT="0" distB="0" distL="0" distR="0" wp14:anchorId="44CAFEEC" wp14:editId="39BE1209">
                                            <wp:extent cx="121920" cy="152400"/>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21920" cy="152400"/>
                                                    </a:xfrm>
                                                    <a:prstGeom prst="rect">
                                                      <a:avLst/>
                                                    </a:prstGeom>
                                                    <a:noFill/>
                                                    <a:ln>
                                                      <a:noFill/>
                                                    </a:ln>
                                                  </pic:spPr>
                                                </pic:pic>
                                              </a:graphicData>
                                            </a:graphic>
                                          </wp:inline>
                                        </w:drawing>
                                      </w:r>
                                      <w:r>
                                        <w:rPr>
                                          <w:rStyle w:val="Hyperlink"/>
                                          <w:rFonts w:ascii="Helvetica" w:hAnsi="Helvetica"/>
                                          <w:color w:val="606060"/>
                                          <w:sz w:val="20"/>
                                          <w:szCs w:val="20"/>
                                        </w:rPr>
                                        <w:t xml:space="preserve">Share on Twitter </w:t>
                                      </w:r>
                                    </w:hyperlink>
                                  </w:p>
                                </w:tc>
                                <w:tc>
                                  <w:tcPr>
                                    <w:tcW w:w="6" w:type="dxa"/>
                                    <w:hideMark/>
                                  </w:tcPr>
                                  <w:p w14:paraId="51FFBE8E" w14:textId="77777777" w:rsidR="005A3CBE" w:rsidRDefault="005A3CBE">
                                    <w:pPr>
                                      <w:rPr>
                                        <w:rFonts w:ascii="Helvetica" w:eastAsia="Times New Roman" w:hAnsi="Helvetica" w:cs="Calibri"/>
                                        <w:color w:val="222222"/>
                                        <w:sz w:val="20"/>
                                        <w:szCs w:val="20"/>
                                      </w:rPr>
                                    </w:pPr>
                                  </w:p>
                                </w:tc>
                              </w:tr>
                            </w:tbl>
                            <w:p w14:paraId="7C21DF41" w14:textId="77777777" w:rsidR="005A3CBE" w:rsidRDefault="005A3CBE"/>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5A3CBE" w14:paraId="4A6B04EE" w14:textId="77777777">
                                <w:tc>
                                  <w:tcPr>
                                    <w:tcW w:w="0" w:type="auto"/>
                                    <w:tcMar>
                                      <w:top w:w="0" w:type="dxa"/>
                                      <w:left w:w="0" w:type="dxa"/>
                                      <w:bottom w:w="150" w:type="dxa"/>
                                      <w:right w:w="0" w:type="dxa"/>
                                    </w:tcMar>
                                    <w:hideMark/>
                                  </w:tcPr>
                                  <w:p w14:paraId="3A7EC862" w14:textId="31472F9A" w:rsidR="005A3CBE" w:rsidRDefault="005A3CBE">
                                    <w:pPr>
                                      <w:spacing w:line="280" w:lineRule="atLeast"/>
                                      <w:jc w:val="center"/>
                                      <w:rPr>
                                        <w:rFonts w:ascii="Helvetica" w:eastAsia="Times New Roman" w:hAnsi="Helvetica" w:cs="Calibri"/>
                                        <w:color w:val="222222"/>
                                        <w:sz w:val="20"/>
                                        <w:szCs w:val="20"/>
                                      </w:rPr>
                                    </w:pPr>
                                    <w:hyperlink r:id="rId23" w:tgtFrame="_blank" w:history="1">
                                      <w:r>
                                        <w:rPr>
                                          <w:rFonts w:ascii="Helvetica" w:eastAsia="Times New Roman" w:hAnsi="Helvetica"/>
                                          <w:noProof/>
                                          <w:color w:val="606060"/>
                                          <w:sz w:val="20"/>
                                          <w:szCs w:val="20"/>
                                        </w:rPr>
                                        <w:drawing>
                                          <wp:inline distT="0" distB="0" distL="0" distR="0" wp14:anchorId="3AA27E8C" wp14:editId="24BE3D6C">
                                            <wp:extent cx="137160" cy="152400"/>
                                            <wp:effectExtent l="0" t="0" r="152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137160" cy="152400"/>
                                                    </a:xfrm>
                                                    <a:prstGeom prst="rect">
                                                      <a:avLst/>
                                                    </a:prstGeom>
                                                    <a:noFill/>
                                                    <a:ln>
                                                      <a:noFill/>
                                                    </a:ln>
                                                  </pic:spPr>
                                                </pic:pic>
                                              </a:graphicData>
                                            </a:graphic>
                                          </wp:inline>
                                        </w:drawing>
                                      </w:r>
                                      <w:r>
                                        <w:rPr>
                                          <w:rStyle w:val="Hyperlink"/>
                                          <w:rFonts w:ascii="Helvetica" w:hAnsi="Helvetica"/>
                                          <w:color w:val="606060"/>
                                          <w:sz w:val="20"/>
                                          <w:szCs w:val="20"/>
                                        </w:rPr>
                                        <w:t xml:space="preserve">Share via Email </w:t>
                                      </w:r>
                                    </w:hyperlink>
                                  </w:p>
                                </w:tc>
                                <w:tc>
                                  <w:tcPr>
                                    <w:tcW w:w="6" w:type="dxa"/>
                                    <w:hideMark/>
                                  </w:tcPr>
                                  <w:p w14:paraId="2CDA368A" w14:textId="77777777" w:rsidR="005A3CBE" w:rsidRDefault="005A3CBE">
                                    <w:pPr>
                                      <w:rPr>
                                        <w:rFonts w:ascii="Helvetica" w:eastAsia="Times New Roman" w:hAnsi="Helvetica" w:cs="Calibri"/>
                                        <w:color w:val="222222"/>
                                        <w:sz w:val="20"/>
                                        <w:szCs w:val="20"/>
                                      </w:rPr>
                                    </w:pPr>
                                  </w:p>
                                </w:tc>
                              </w:tr>
                            </w:tbl>
                            <w:p w14:paraId="06A8EC2A" w14:textId="77777777" w:rsidR="005A3CBE" w:rsidRDefault="005A3CBE"/>
                          </w:tc>
                        </w:tr>
                      </w:tbl>
                      <w:p w14:paraId="49B4580B" w14:textId="77777777" w:rsidR="005A3CBE" w:rsidRDefault="005A3CBE"/>
                    </w:tc>
                  </w:tr>
                  <w:tr w:rsidR="005A3CBE" w14:paraId="7A3A3362" w14:textId="77777777">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5"/>
                          <w:gridCol w:w="1951"/>
                        </w:tblGrid>
                        <w:tr w:rsidR="005A3CBE" w14:paraId="72F40837" w14:textId="77777777">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5A3CBE" w14:paraId="14F13EBF" w14:textId="77777777">
                                <w:tc>
                                  <w:tcPr>
                                    <w:tcW w:w="0" w:type="auto"/>
                                    <w:tcMar>
                                      <w:top w:w="0" w:type="dxa"/>
                                      <w:left w:w="150" w:type="dxa"/>
                                      <w:bottom w:w="150" w:type="dxa"/>
                                      <w:right w:w="150" w:type="dxa"/>
                                    </w:tcMar>
                                    <w:hideMark/>
                                  </w:tcPr>
                                  <w:p w14:paraId="4285B6C9" w14:textId="77777777" w:rsidR="005A3CBE" w:rsidRDefault="005A3CBE">
                                    <w:pPr>
                                      <w:pStyle w:val="footer"/>
                                      <w:spacing w:before="0" w:beforeAutospacing="0" w:after="225" w:afterAutospacing="0" w:line="270" w:lineRule="atLeast"/>
                                      <w:rPr>
                                        <w:rFonts w:ascii="Helvetica" w:hAnsi="Helvetica"/>
                                        <w:color w:val="222223"/>
                                        <w:sz w:val="18"/>
                                        <w:szCs w:val="18"/>
                                      </w:rPr>
                                    </w:pPr>
                                    <w:r>
                                      <w:rPr>
                                        <w:rFonts w:ascii="Helvetica" w:hAnsi="Helvetica"/>
                                        <w:color w:val="222223"/>
                                        <w:sz w:val="18"/>
                                        <w:szCs w:val="18"/>
                                      </w:rPr>
                                      <w:t>Copyright 2021 NJLM. All Rights Reserved.</w:t>
                                    </w:r>
                                    <w:r>
                                      <w:rPr>
                                        <w:rFonts w:ascii="Helvetica" w:hAnsi="Helvetica"/>
                                        <w:color w:val="222223"/>
                                        <w:sz w:val="18"/>
                                        <w:szCs w:val="18"/>
                                      </w:rPr>
                                      <w:br/>
                                      <w:t>222 West State Street, Trenton, NJ 08608</w:t>
                                    </w:r>
                                  </w:p>
                                </w:tc>
                                <w:tc>
                                  <w:tcPr>
                                    <w:tcW w:w="6" w:type="dxa"/>
                                    <w:hideMark/>
                                  </w:tcPr>
                                  <w:p w14:paraId="1EC20973" w14:textId="77777777" w:rsidR="005A3CBE" w:rsidRDefault="005A3CBE">
                                    <w:pPr>
                                      <w:rPr>
                                        <w:rFonts w:ascii="Helvetica" w:hAnsi="Helvetica"/>
                                        <w:color w:val="222223"/>
                                        <w:sz w:val="18"/>
                                        <w:szCs w:val="18"/>
                                      </w:rPr>
                                    </w:pPr>
                                  </w:p>
                                </w:tc>
                              </w:tr>
                            </w:tbl>
                            <w:p w14:paraId="0600E12F" w14:textId="77777777" w:rsidR="005A3CBE" w:rsidRDefault="005A3CBE"/>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44"/>
                                <w:gridCol w:w="6"/>
                              </w:tblGrid>
                              <w:tr w:rsidR="005A3CBE" w14:paraId="25DBE66D" w14:textId="77777777">
                                <w:tc>
                                  <w:tcPr>
                                    <w:tcW w:w="0" w:type="auto"/>
                                    <w:tcMar>
                                      <w:top w:w="0" w:type="dxa"/>
                                      <w:left w:w="0" w:type="dxa"/>
                                      <w:bottom w:w="150" w:type="dxa"/>
                                      <w:right w:w="150" w:type="dxa"/>
                                    </w:tcMar>
                                    <w:hideMark/>
                                  </w:tcPr>
                                  <w:p w14:paraId="6ACB7999" w14:textId="4E473683" w:rsidR="005A3CBE" w:rsidRDefault="005A3CBE">
                                    <w:pPr>
                                      <w:spacing w:line="280" w:lineRule="atLeast"/>
                                      <w:rPr>
                                        <w:rFonts w:ascii="Helvetica" w:eastAsia="Times New Roman" w:hAnsi="Helvetica" w:cs="Calibri"/>
                                        <w:color w:val="222222"/>
                                        <w:sz w:val="20"/>
                                        <w:szCs w:val="20"/>
                                      </w:rPr>
                                    </w:pPr>
                                    <w:r>
                                      <w:rPr>
                                        <w:rFonts w:ascii="Helvetica" w:eastAsia="Times New Roman" w:hAnsi="Helvetica"/>
                                        <w:color w:val="222223"/>
                                        <w:sz w:val="15"/>
                                        <w:szCs w:val="15"/>
                                      </w:rPr>
                                      <w:t>Powered by</w:t>
                                    </w:r>
                                    <w:r>
                                      <w:rPr>
                                        <w:rFonts w:ascii="Helvetica" w:eastAsia="Times New Roman" w:hAnsi="Helvetica"/>
                                        <w:color w:val="222222"/>
                                        <w:sz w:val="20"/>
                                        <w:szCs w:val="20"/>
                                      </w:rPr>
                                      <w:br/>
                                    </w:r>
                                    <w:r>
                                      <w:rPr>
                                        <w:rFonts w:ascii="Helvetica" w:eastAsia="Times New Roman" w:hAnsi="Helvetica"/>
                                        <w:noProof/>
                                        <w:color w:val="222222"/>
                                        <w:sz w:val="20"/>
                                        <w:szCs w:val="20"/>
                                      </w:rPr>
                                      <w:drawing>
                                        <wp:inline distT="0" distB="0" distL="0" distR="0" wp14:anchorId="06DDA066" wp14:editId="15E6B1FF">
                                          <wp:extent cx="304800" cy="304800"/>
                                          <wp:effectExtent l="0" t="0" r="0" b="0"/>
                                          <wp:docPr id="1" name="Picture 1"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vicSend - A product of CivicPlus"/>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 w:type="dxa"/>
                                    <w:hideMark/>
                                  </w:tcPr>
                                  <w:p w14:paraId="1B04E542" w14:textId="77777777" w:rsidR="005A3CBE" w:rsidRDefault="005A3CBE">
                                    <w:pPr>
                                      <w:rPr>
                                        <w:rFonts w:ascii="Helvetica" w:eastAsia="Times New Roman" w:hAnsi="Helvetica" w:cs="Calibri"/>
                                        <w:color w:val="222222"/>
                                        <w:sz w:val="20"/>
                                        <w:szCs w:val="20"/>
                                      </w:rPr>
                                    </w:pPr>
                                  </w:p>
                                </w:tc>
                              </w:tr>
                            </w:tbl>
                            <w:p w14:paraId="0023A816" w14:textId="77777777" w:rsidR="005A3CBE" w:rsidRDefault="005A3CBE"/>
                          </w:tc>
                        </w:tr>
                      </w:tbl>
                      <w:p w14:paraId="16EC16FA" w14:textId="77777777" w:rsidR="005A3CBE" w:rsidRDefault="005A3CBE"/>
                    </w:tc>
                  </w:tr>
                </w:tbl>
                <w:p w14:paraId="25D22A25" w14:textId="77777777" w:rsidR="005A3CBE" w:rsidRDefault="005A3CBE"/>
              </w:tc>
            </w:tr>
          </w:tbl>
          <w:p w14:paraId="579382D6" w14:textId="77777777" w:rsidR="005A3CBE" w:rsidRDefault="005A3CBE">
            <w:pPr>
              <w:jc w:val="center"/>
            </w:pPr>
          </w:p>
        </w:tc>
      </w:tr>
    </w:tbl>
    <w:p w14:paraId="4C2A61EC" w14:textId="77777777" w:rsidR="005A3CBE" w:rsidRDefault="005A3CBE" w:rsidP="005A3CBE">
      <w:pPr>
        <w:rPr>
          <w:rFonts w:eastAsia="Times New Roman"/>
        </w:rPr>
      </w:pPr>
    </w:p>
    <w:p w14:paraId="7FE671DD" w14:textId="77777777" w:rsidR="005A3CBE" w:rsidRDefault="005A3CBE"/>
    <w:sectPr w:rsidR="005A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34CD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BE"/>
    <w:rsid w:val="005A3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FFC"/>
  <w15:chartTrackingRefBased/>
  <w15:docId w15:val="{9CB398E7-09E6-4405-9624-B68D2ADA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BE"/>
    <w:pPr>
      <w:spacing w:after="0" w:line="240" w:lineRule="auto"/>
    </w:pPr>
    <w:rPr>
      <w:rFonts w:eastAsiaTheme="minorEastAsia"/>
    </w:rPr>
  </w:style>
  <w:style w:type="paragraph" w:styleId="Heading1">
    <w:name w:val="heading 1"/>
    <w:basedOn w:val="Normal"/>
    <w:link w:val="Heading1Char"/>
    <w:uiPriority w:val="9"/>
    <w:qFormat/>
    <w:rsid w:val="005A3CBE"/>
    <w:pPr>
      <w:spacing w:before="100" w:beforeAutospacing="1" w:after="100" w:afterAutospacing="1"/>
      <w:outlineLvl w:val="0"/>
    </w:pPr>
    <w:rPr>
      <w:rFonts w:ascii="Calibri" w:eastAsia="Times New Roman" w:hAnsi="Calibri" w:cs="Calibri"/>
      <w:b/>
      <w:bCs/>
      <w:kern w:val="36"/>
      <w:sz w:val="48"/>
      <w:szCs w:val="48"/>
    </w:rPr>
  </w:style>
  <w:style w:type="paragraph" w:styleId="Heading2">
    <w:name w:val="heading 2"/>
    <w:basedOn w:val="Normal"/>
    <w:link w:val="Heading2Char"/>
    <w:uiPriority w:val="9"/>
    <w:semiHidden/>
    <w:unhideWhenUsed/>
    <w:qFormat/>
    <w:rsid w:val="005A3CBE"/>
    <w:pPr>
      <w:spacing w:before="100" w:beforeAutospacing="1" w:after="100" w:afterAutospacing="1"/>
      <w:outlineLvl w:val="1"/>
    </w:pPr>
    <w:rPr>
      <w:rFonts w:ascii="Calibri" w:eastAsia="Times New Roman" w:hAnsi="Calibri" w:cs="Calibri"/>
      <w:b/>
      <w:bCs/>
      <w:sz w:val="36"/>
      <w:szCs w:val="36"/>
    </w:rPr>
  </w:style>
  <w:style w:type="paragraph" w:styleId="Heading3">
    <w:name w:val="heading 3"/>
    <w:basedOn w:val="Normal"/>
    <w:link w:val="Heading3Char"/>
    <w:uiPriority w:val="9"/>
    <w:semiHidden/>
    <w:unhideWhenUsed/>
    <w:qFormat/>
    <w:rsid w:val="005A3CBE"/>
    <w:pPr>
      <w:spacing w:before="100" w:beforeAutospacing="1" w:after="100" w:afterAutospacing="1"/>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BE"/>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5A3CBE"/>
    <w:rPr>
      <w:rFonts w:ascii="Calibri" w:eastAsia="Times New Roman" w:hAnsi="Calibri" w:cs="Calibri"/>
      <w:b/>
      <w:bCs/>
      <w:sz w:val="36"/>
      <w:szCs w:val="36"/>
    </w:rPr>
  </w:style>
  <w:style w:type="character" w:customStyle="1" w:styleId="Heading3Char">
    <w:name w:val="Heading 3 Char"/>
    <w:basedOn w:val="DefaultParagraphFont"/>
    <w:link w:val="Heading3"/>
    <w:uiPriority w:val="9"/>
    <w:semiHidden/>
    <w:rsid w:val="005A3CBE"/>
    <w:rPr>
      <w:rFonts w:ascii="Calibri" w:eastAsia="Times New Roman" w:hAnsi="Calibri" w:cs="Calibri"/>
      <w:b/>
      <w:bCs/>
      <w:sz w:val="27"/>
      <w:szCs w:val="27"/>
    </w:rPr>
  </w:style>
  <w:style w:type="character" w:styleId="Hyperlink">
    <w:name w:val="Hyperlink"/>
    <w:basedOn w:val="DefaultParagraphFont"/>
    <w:uiPriority w:val="99"/>
    <w:semiHidden/>
    <w:unhideWhenUsed/>
    <w:rsid w:val="005A3CBE"/>
    <w:rPr>
      <w:color w:val="0000FF"/>
      <w:u w:val="single"/>
    </w:rPr>
  </w:style>
  <w:style w:type="paragraph" w:customStyle="1" w:styleId="normal1">
    <w:name w:val="normal1"/>
    <w:basedOn w:val="Normal"/>
    <w:rsid w:val="005A3CBE"/>
    <w:rPr>
      <w:rFonts w:ascii="Arial" w:hAnsi="Arial" w:cs="Arial"/>
      <w:color w:val="333333"/>
      <w:sz w:val="21"/>
      <w:szCs w:val="21"/>
    </w:rPr>
  </w:style>
  <w:style w:type="paragraph" w:customStyle="1" w:styleId="footer">
    <w:name w:val="footer"/>
    <w:basedOn w:val="Normal"/>
    <w:rsid w:val="005A3CBE"/>
    <w:pPr>
      <w:spacing w:before="100" w:beforeAutospacing="1" w:after="100" w:afterAutospacing="1"/>
    </w:pPr>
    <w:rPr>
      <w:rFonts w:ascii="Calibri" w:hAnsi="Calibri" w:cs="Calibri"/>
    </w:rPr>
  </w:style>
  <w:style w:type="character" w:styleId="Emphasis">
    <w:name w:val="Emphasis"/>
    <w:basedOn w:val="DefaultParagraphFont"/>
    <w:uiPriority w:val="20"/>
    <w:qFormat/>
    <w:rsid w:val="005A3CBE"/>
    <w:rPr>
      <w:i/>
      <w:iCs/>
    </w:rPr>
  </w:style>
  <w:style w:type="character" w:styleId="Strong">
    <w:name w:val="Strong"/>
    <w:basedOn w:val="DefaultParagraphFont"/>
    <w:uiPriority w:val="22"/>
    <w:qFormat/>
    <w:rsid w:val="005A3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lm.org/DocumentCenter/View/9211/NJLM-Sample-Cannabis-Option-1-Opt-Out-3-2-2021" TargetMode="External"/><Relationship Id="rId13" Type="http://schemas.openxmlformats.org/officeDocument/2006/relationships/hyperlink" Target="https://www.njlm.org/" TargetMode="External"/><Relationship Id="rId18" Type="http://schemas.openxmlformats.org/officeDocument/2006/relationships/hyperlink" Target="https://www.youtube.com/channel/UCbce9oVw9LvO6vxNz_89mZw"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witter.com/share?url=%7bShortened_Message_Link%7d" TargetMode="External"/><Relationship Id="rId7" Type="http://schemas.openxmlformats.org/officeDocument/2006/relationships/hyperlink" Target="https://www.njleg.state.nj.us/2020/Bills/A0500/21_R2.PDF" TargetMode="External"/><Relationship Id="rId12" Type="http://schemas.openxmlformats.org/officeDocument/2006/relationships/hyperlink" Target="mailto:fmarshall@njlm.org" TargetMode="External"/><Relationship Id="rId17" Type="http://schemas.openxmlformats.org/officeDocument/2006/relationships/hyperlink" Target="https://www.linkedin.com/company/new-jersey-league-of-municipalities/" TargetMode="External"/><Relationship Id="rId25" Type="http://schemas.openxmlformats.org/officeDocument/2006/relationships/image" Target="https://www.njlm.org/Areas/CivicSend/Assets/Images/CivicSendLogoSmall.png" TargetMode="External"/><Relationship Id="rId2" Type="http://schemas.openxmlformats.org/officeDocument/2006/relationships/styles" Target="styles.xml"/><Relationship Id="rId16" Type="http://schemas.openxmlformats.org/officeDocument/2006/relationships/hyperlink" Target="https://twitter.com/NJ_League" TargetMode="External"/><Relationship Id="rId20" Type="http://schemas.openxmlformats.org/officeDocument/2006/relationships/image" Target="https://www.njlm.org/Assets/Images/IconShareFacebook.png" TargetMode="External"/><Relationship Id="rId1" Type="http://schemas.openxmlformats.org/officeDocument/2006/relationships/numbering" Target="numbering.xml"/><Relationship Id="rId6" Type="http://schemas.openxmlformats.org/officeDocument/2006/relationships/hyperlink" Target="https://www.njlm.org/DocumentCenter/View/9436/081821-Cannabis-Local-Option-Tax-Sample-Ordinance" TargetMode="External"/><Relationship Id="rId11" Type="http://schemas.openxmlformats.org/officeDocument/2006/relationships/hyperlink" Target="mailto:mcerra@njlm.org" TargetMode="External"/><Relationship Id="rId24" Type="http://schemas.openxmlformats.org/officeDocument/2006/relationships/image" Target="https://www.njlm.org/Assets/Images/IconShareEmail.png" TargetMode="External"/><Relationship Id="rId5" Type="http://schemas.openxmlformats.org/officeDocument/2006/relationships/image" Target="https://www.njlm.org/Areas/CivicSend/Assets/Uploads/4878/78312ba3ace14e3aac49641fbc35d5e0_optimized.jpg" TargetMode="External"/><Relationship Id="rId15" Type="http://schemas.openxmlformats.org/officeDocument/2006/relationships/hyperlink" Target="https://www.facebook.com/njleague" TargetMode="External"/><Relationship Id="rId23" Type="http://schemas.openxmlformats.org/officeDocument/2006/relationships/hyperlink" Target="mailto:?to=&amp;subject=Check%20out%20this%20message&amp;body=%7bShortened_Message_Link%7d" TargetMode="External"/><Relationship Id="rId10" Type="http://schemas.openxmlformats.org/officeDocument/2006/relationships/hyperlink" Target="https://www.njlm.org/969/Cannabis-Legalization" TargetMode="External"/><Relationship Id="rId19" Type="http://schemas.openxmlformats.org/officeDocument/2006/relationships/hyperlink" Target="https://www.facebook.com/sharer/sharer.php?u=%7bShortened_Message_Link%7d" TargetMode="External"/><Relationship Id="rId4" Type="http://schemas.openxmlformats.org/officeDocument/2006/relationships/webSettings" Target="webSettings.xml"/><Relationship Id="rId9" Type="http://schemas.openxmlformats.org/officeDocument/2006/relationships/hyperlink" Target="https://www.njlm.org/DocumentCenter/View/9436/081821-Cannabis-Local-Option-Tax-Sample-Ordinance" TargetMode="External"/><Relationship Id="rId14" Type="http://schemas.openxmlformats.org/officeDocument/2006/relationships/image" Target="https://www.njlm.org/Areas/CivicSend/Assets/Uploads/4878/94ca23dae4364e1fbeb026bb59cadd6b_optimized.jpg" TargetMode="External"/><Relationship Id="rId22" Type="http://schemas.openxmlformats.org/officeDocument/2006/relationships/image" Target="https://www.njlm.org/Assets/Images/IconShareTwitter.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Spiezio</dc:creator>
  <cp:keywords/>
  <dc:description/>
  <cp:lastModifiedBy>Amy Spiezio</cp:lastModifiedBy>
  <cp:revision>1</cp:revision>
  <dcterms:created xsi:type="dcterms:W3CDTF">2021-08-17T21:02:00Z</dcterms:created>
  <dcterms:modified xsi:type="dcterms:W3CDTF">2021-08-17T21:03:00Z</dcterms:modified>
</cp:coreProperties>
</file>